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  <w:bookmarkStart w:id="0" w:name="_GoBack"/>
      <w:bookmarkEnd w:id="0"/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</w:t>
      </w:r>
      <w:r w:rsidR="00AA1AFA">
        <w:rPr>
          <w:szCs w:val="28"/>
          <w:lang w:val="ru-RU"/>
        </w:rPr>
        <w:t>3</w:t>
      </w:r>
      <w:r>
        <w:rPr>
          <w:szCs w:val="28"/>
          <w:lang w:val="ru-RU"/>
        </w:rPr>
        <w:t xml:space="preserve">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«Специалист в сфере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lastRenderedPageBreak/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проведения закупок товаров, работ и оказание услуг для государственных и муниципальных нужд различными способами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2932F5">
        <w:rPr>
          <w:sz w:val="24"/>
          <w:szCs w:val="24"/>
          <w:lang w:val="ru-RU"/>
        </w:rPr>
        <w:t xml:space="preserve"> 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Pr="007646DF"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6D3FAF">
        <w:rPr>
          <w:sz w:val="24"/>
          <w:szCs w:val="24"/>
          <w:lang w:val="ru-RU"/>
        </w:rPr>
        <w:t>очно-заочная, дистанционная</w:t>
      </w:r>
      <w:r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B26ACD" w:rsidRPr="00B26AC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6ACD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Сам.</w:t>
            </w:r>
            <w:r w:rsidR="00B26ACD" w:rsidRPr="00B26ACD">
              <w:rPr>
                <w:sz w:val="22"/>
                <w:szCs w:val="22"/>
                <w:lang w:val="ru-RU"/>
              </w:rPr>
              <w:t xml:space="preserve"> </w:t>
            </w:r>
            <w:r w:rsidR="00623B4F" w:rsidRPr="00B26ACD">
              <w:rPr>
                <w:sz w:val="22"/>
                <w:szCs w:val="22"/>
                <w:lang w:val="ru-RU"/>
              </w:rPr>
              <w:t>работа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6D3FAF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 w:firstRow="1" w:lastRow="0" w:firstColumn="1" w:lastColumn="0" w:noHBand="0" w:noVBand="1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6D3FAF" w:rsidRPr="00DA7808" w:rsidRDefault="006D3FAF" w:rsidP="00E544BE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 w:rsidR="006D3FAF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r w:rsidR="00623B4F" w:rsidRPr="007646DF">
              <w:rPr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  <w:r w:rsidR="00DC58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B26ACD">
              <w:rPr>
                <w:b/>
                <w:i/>
                <w:sz w:val="24"/>
                <w:szCs w:val="24"/>
              </w:rPr>
              <w:t xml:space="preserve"> </w:t>
            </w:r>
            <w:r w:rsidRPr="00B26ACD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lastRenderedPageBreak/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E544BE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7440B0">
        <w:rPr>
          <w:sz w:val="24"/>
          <w:szCs w:val="24"/>
          <w:lang w:val="ru-RU"/>
        </w:rPr>
        <w:t>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Контрактная</w:t>
            </w:r>
            <w:proofErr w:type="gramEnd"/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6D3FAF" w:rsidRPr="0021719E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7440B0" w:rsidRPr="008B51C7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lastRenderedPageBreak/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для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E544BE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E544BE">
        <w:rPr>
          <w:rStyle w:val="FontStyle11"/>
          <w:sz w:val="24"/>
        </w:rPr>
        <w:t xml:space="preserve">Нормативные и методические документы </w:t>
      </w:r>
      <w:r w:rsidR="00E544BE" w:rsidRPr="00E544BE">
        <w:rPr>
          <w:rStyle w:val="FontStyle11"/>
          <w:sz w:val="24"/>
        </w:rPr>
        <w:t>Минфина</w:t>
      </w:r>
      <w:r w:rsidRPr="00E544BE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261FB1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 w:rsidRPr="007646DF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lastRenderedPageBreak/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210E70">
        <w:rPr>
          <w:rStyle w:val="FontStyle11"/>
          <w:sz w:val="24"/>
        </w:rPr>
        <w:t xml:space="preserve">Выбор способа определений поставщика. 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210E70">
        <w:rPr>
          <w:rStyle w:val="FontStyle11"/>
          <w:sz w:val="24"/>
        </w:rPr>
        <w:t>Критерии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>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210E70">
        <w:rPr>
          <w:bCs/>
          <w:sz w:val="24"/>
          <w:szCs w:val="24"/>
          <w:lang w:val="ru-RU"/>
        </w:rPr>
        <w:t>ок</w:t>
      </w:r>
      <w:r w:rsidR="004277D1">
        <w:rPr>
          <w:bCs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 xml:space="preserve"> о проведении аукциона.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203124" w:rsidRPr="007440B0" w:rsidRDefault="00203124" w:rsidP="00203124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203124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 xml:space="preserve">Условия применения такого способа закупки как </w:t>
      </w:r>
      <w:r w:rsidR="00210E70">
        <w:t>закупка</w:t>
      </w:r>
      <w:r w:rsidRPr="00676341">
        <w:t xml:space="preserve">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</w:t>
      </w:r>
      <w:r w:rsidR="00210E70">
        <w:rPr>
          <w:rStyle w:val="FontStyle11"/>
          <w:sz w:val="24"/>
        </w:rPr>
        <w:t>документов</w:t>
      </w:r>
      <w:r w:rsidRPr="007440B0">
        <w:rPr>
          <w:rStyle w:val="FontStyle11"/>
          <w:sz w:val="24"/>
        </w:rPr>
        <w:t xml:space="preserve">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210E70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ED327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B61792" w:rsidRPr="00B61792" w:rsidRDefault="00B61792" w:rsidP="00B6179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B6179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поставщика (подрядчика, исполнителя) (2 часа)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Условия применения закрытых процедур.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Подготовка документации для проведения закрытых процедур. </w:t>
            </w:r>
          </w:p>
          <w:p w:rsidR="004277D1" w:rsidRPr="004277D1" w:rsidRDefault="00B61792" w:rsidP="00B61792">
            <w:pPr>
              <w:pStyle w:val="Style2"/>
              <w:widowControl/>
              <w:spacing w:line="240" w:lineRule="auto"/>
              <w:ind w:left="34" w:firstLine="0"/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>Порядок проведения закрытых процедур.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Поиск заказчиков по наименованию, заказчику, ОКПД2, начальной цене, дате </w:t>
            </w: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lastRenderedPageBreak/>
              <w:t>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441DB9" w:rsidRPr="00834F23" w:rsidRDefault="004E527B" w:rsidP="004E527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proofErr w:type="gramStart"/>
      <w:r w:rsidRPr="007440B0">
        <w:rPr>
          <w:rStyle w:val="FontStyle12"/>
          <w:b w:val="0"/>
          <w:sz w:val="24"/>
        </w:rPr>
        <w:t>Требования</w:t>
      </w:r>
      <w:proofErr w:type="gramEnd"/>
      <w:r w:rsidRPr="007440B0">
        <w:rPr>
          <w:rStyle w:val="FontStyle12"/>
          <w:b w:val="0"/>
          <w:sz w:val="24"/>
        </w:rPr>
        <w:t xml:space="preserve">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6D3FAF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Органы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КОАП РФ статьи 7.29 - 7.32, </w:t>
            </w:r>
            <w:r w:rsidR="00B34AD6">
              <w:rPr>
                <w:sz w:val="24"/>
                <w:szCs w:val="24"/>
                <w:lang w:val="ru-RU"/>
              </w:rPr>
              <w:t xml:space="preserve">7.32.5, </w:t>
            </w:r>
            <w:r w:rsidRPr="00D76B60">
              <w:rPr>
                <w:sz w:val="24"/>
                <w:szCs w:val="24"/>
              </w:rPr>
              <w:t>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Закупка </w:t>
      </w:r>
      <w:r w:rsidR="00B34AD6">
        <w:rPr>
          <w:sz w:val="24"/>
          <w:szCs w:val="24"/>
          <w:lang w:val="ru-RU"/>
        </w:rPr>
        <w:t>технически</w:t>
      </w:r>
      <w:r>
        <w:rPr>
          <w:sz w:val="24"/>
          <w:szCs w:val="24"/>
          <w:lang w:val="ru-RU"/>
        </w:rPr>
        <w:t xml:space="preserve"> </w:t>
      </w:r>
      <w:r w:rsidR="00B34AD6">
        <w:rPr>
          <w:sz w:val="24"/>
          <w:szCs w:val="24"/>
          <w:lang w:val="ru-RU"/>
        </w:rPr>
        <w:t xml:space="preserve">сложных </w:t>
      </w:r>
      <w:r>
        <w:rPr>
          <w:sz w:val="24"/>
          <w:szCs w:val="24"/>
          <w:lang w:val="ru-RU"/>
        </w:rPr>
        <w:t>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- Постановление Правительства РФ от 10.09.2012 №908 «Об утверждении Положения о размещении в единой информационной системе информации о </w:t>
            </w:r>
            <w:r w:rsidRPr="00D76B60">
              <w:rPr>
                <w:sz w:val="24"/>
                <w:szCs w:val="24"/>
              </w:rPr>
              <w:lastRenderedPageBreak/>
              <w:t>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8B51C7" w:rsidRPr="00D76B60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lastRenderedPageBreak/>
        <w:t>Степанова Е.Е. Контрактная система в сфере закупок: опыт цивилистического исследования: монография. СПб.: 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039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 xml:space="preserve">. Данная образовательная технология строится на </w:t>
      </w:r>
      <w:proofErr w:type="gramStart"/>
      <w:r>
        <w:rPr>
          <w:sz w:val="24"/>
        </w:rPr>
        <w:t>основе  имитации</w:t>
      </w:r>
      <w:proofErr w:type="gramEnd"/>
      <w:r>
        <w:rPr>
          <w:sz w:val="24"/>
        </w:rPr>
        <w:t xml:space="preserve"> профессиональной деятельности, осуществляемый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</w:t>
      </w:r>
      <w:r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Cs w:val="24"/>
          <w:lang w:val="ru-RU"/>
        </w:rPr>
      </w:pPr>
      <w:r w:rsidRPr="007F7EA5">
        <w:rPr>
          <w:b/>
          <w:szCs w:val="24"/>
        </w:rPr>
        <w:t>ВАРИАНТ 1</w:t>
      </w:r>
      <w:r w:rsidRPr="007F7EA5">
        <w:rPr>
          <w:b/>
          <w:szCs w:val="24"/>
          <w:lang w:val="ru-RU"/>
        </w:rPr>
        <w:t xml:space="preserve"> </w:t>
      </w:r>
    </w:p>
    <w:p w:rsidR="007F7EA5" w:rsidRPr="007F7EA5" w:rsidRDefault="007F7EA5" w:rsidP="007F7EA5">
      <w:pPr>
        <w:jc w:val="center"/>
        <w:rPr>
          <w:sz w:val="12"/>
          <w:szCs w:val="12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1.</w:t>
      </w:r>
      <w:r w:rsidRPr="007F7EA5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б) </w:t>
      </w:r>
      <w:r w:rsidRPr="007F7EA5">
        <w:rPr>
          <w:bCs/>
          <w:snapToGrid w:val="0"/>
          <w:sz w:val="24"/>
          <w:szCs w:val="24"/>
        </w:rPr>
        <w:t>проектно-сметный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bCs/>
          <w:snapToGrid w:val="0"/>
          <w:sz w:val="24"/>
          <w:szCs w:val="24"/>
        </w:rPr>
        <w:t>тарифный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затратный метод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rPr>
          <w:sz w:val="24"/>
          <w:szCs w:val="24"/>
        </w:rPr>
      </w:pPr>
    </w:p>
    <w:p w:rsidR="007F7EA5" w:rsidRPr="007F7EA5" w:rsidRDefault="007F7EA5" w:rsidP="007F7EA5">
      <w:pPr>
        <w:ind w:left="709"/>
        <w:rPr>
          <w:sz w:val="24"/>
        </w:rPr>
      </w:pPr>
      <w:r w:rsidRPr="007F7EA5">
        <w:rPr>
          <w:sz w:val="24"/>
          <w:lang w:val="ru-RU"/>
        </w:rPr>
        <w:t>2.</w:t>
      </w:r>
      <w:r w:rsidRPr="007F7EA5">
        <w:rPr>
          <w:sz w:val="24"/>
        </w:rPr>
        <w:t xml:space="preserve">Число членов комиссии </w:t>
      </w:r>
      <w:r w:rsidRPr="007F7EA5">
        <w:rPr>
          <w:sz w:val="24"/>
          <w:lang w:val="ru-RU"/>
        </w:rPr>
        <w:t>по осуществлению закупок</w:t>
      </w:r>
      <w:r w:rsidRPr="007F7EA5">
        <w:rPr>
          <w:sz w:val="24"/>
        </w:rPr>
        <w:t xml:space="preserve"> должно быть: 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не менее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не менее семи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не менее </w:t>
      </w:r>
      <w:r w:rsidRPr="007F7EA5">
        <w:rPr>
          <w:sz w:val="24"/>
          <w:szCs w:val="24"/>
          <w:lang w:val="ru-RU"/>
        </w:rPr>
        <w:t>трех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не менее двух человек.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</w:t>
      </w:r>
      <w:r w:rsidRPr="007F7EA5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7F7EA5">
        <w:rPr>
          <w:sz w:val="24"/>
          <w:szCs w:val="24"/>
        </w:rPr>
        <w:t xml:space="preserve">посредством проведения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может осуществляться: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только в отношении договоров подряда;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 в отношении любых товаров, работ, услуг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 только в отношении услуг</w:t>
      </w:r>
      <w:r w:rsidRPr="007F7EA5">
        <w:rPr>
          <w:sz w:val="24"/>
          <w:szCs w:val="24"/>
          <w:lang w:val="ru-RU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</w:t>
      </w:r>
      <w:r w:rsidRPr="007F7EA5">
        <w:t xml:space="preserve"> </w:t>
      </w:r>
      <w:r w:rsidRPr="007F7EA5">
        <w:rPr>
          <w:sz w:val="24"/>
          <w:szCs w:val="24"/>
          <w:lang w:val="ru-RU"/>
        </w:rPr>
        <w:t xml:space="preserve">При </w:t>
      </w:r>
      <w:r w:rsidRPr="007F7EA5">
        <w:rPr>
          <w:sz w:val="24"/>
          <w:szCs w:val="24"/>
        </w:rPr>
        <w:t>осуществл</w:t>
      </w:r>
      <w:r w:rsidRPr="007F7EA5">
        <w:rPr>
          <w:sz w:val="24"/>
          <w:szCs w:val="24"/>
          <w:lang w:val="ru-RU"/>
        </w:rPr>
        <w:t>ении</w:t>
      </w:r>
      <w:r w:rsidRPr="007F7EA5">
        <w:rPr>
          <w:sz w:val="24"/>
          <w:szCs w:val="24"/>
        </w:rPr>
        <w:t xml:space="preserve"> закупки </w:t>
      </w:r>
      <w:r w:rsidRPr="007F7EA5">
        <w:rPr>
          <w:sz w:val="24"/>
          <w:szCs w:val="24"/>
          <w:lang w:val="ru-RU"/>
        </w:rPr>
        <w:t xml:space="preserve">только </w:t>
      </w:r>
      <w:r w:rsidRPr="007F7EA5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не должна превышать два миллиона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не должна превышать один миллион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основание прекращение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Информацию в реестр </w:t>
      </w:r>
      <w:r w:rsidRPr="007F7EA5">
        <w:rPr>
          <w:sz w:val="24"/>
          <w:szCs w:val="24"/>
          <w:lang w:val="ru-RU"/>
        </w:rPr>
        <w:t xml:space="preserve">независимых </w:t>
      </w:r>
      <w:r w:rsidRPr="007F7EA5">
        <w:rPr>
          <w:sz w:val="24"/>
          <w:szCs w:val="24"/>
        </w:rPr>
        <w:t>гарантий включает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поставщик (подрядчик, исполнитель)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гарант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заказчик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уполномоченный государственный орган</w:t>
      </w:r>
    </w:p>
    <w:p w:rsidR="007F7EA5" w:rsidRPr="007F7EA5" w:rsidRDefault="007F7EA5" w:rsidP="007F7EA5">
      <w:pPr>
        <w:pStyle w:val="a9"/>
        <w:ind w:firstLine="720"/>
        <w:rPr>
          <w:i w:val="0"/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7.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</w:t>
      </w:r>
      <w:r w:rsidR="00ED3272">
        <w:rPr>
          <w:bCs/>
          <w:i w:val="0"/>
          <w:iCs w:val="0"/>
          <w:snapToGrid w:val="0"/>
          <w:sz w:val="24"/>
          <w:szCs w:val="24"/>
        </w:rPr>
        <w:t>независимой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гарантией: 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гарантом;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принципалом;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бенефициаром;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цедентом.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8. </w:t>
      </w:r>
      <w:r w:rsidRPr="007F7EA5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7F7EA5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7F7EA5">
        <w:rPr>
          <w:spacing w:val="-8"/>
          <w:w w:val="101"/>
          <w:sz w:val="24"/>
          <w:szCs w:val="24"/>
        </w:rPr>
        <w:t>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в) подрядчик и заказчик в долевом порядке;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 всем обычным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по всем существенным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 цене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 сроке  действия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10. Контракт по результатам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7F7EA5">
        <w:rPr>
          <w:sz w:val="24"/>
          <w:szCs w:val="24"/>
          <w:lang w:val="ru-RU"/>
        </w:rPr>
        <w:t>подведения итогов</w:t>
      </w:r>
      <w:r w:rsidRPr="007F7EA5">
        <w:rPr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двух месяцев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lastRenderedPageBreak/>
        <w:t xml:space="preserve">б) </w:t>
      </w:r>
      <w:r w:rsidRPr="007F7EA5">
        <w:rPr>
          <w:sz w:val="24"/>
          <w:szCs w:val="24"/>
          <w:lang w:val="ru-RU"/>
        </w:rPr>
        <w:t>не ранее, чем через десять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четырнадцати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семи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11.Победитель электронного аукциона обязан подписать контракт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в электронной форме и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в электронной форме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только на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12.</w:t>
      </w:r>
      <w:r w:rsidRPr="007F7EA5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провести закупку </w:t>
      </w:r>
      <w:r w:rsidR="00ED3272">
        <w:rPr>
          <w:bCs/>
          <w:sz w:val="24"/>
          <w:szCs w:val="24"/>
          <w:lang w:val="ru-RU"/>
        </w:rPr>
        <w:t>электронным</w:t>
      </w:r>
      <w:r w:rsidRPr="007F7EA5">
        <w:rPr>
          <w:bCs/>
          <w:sz w:val="24"/>
          <w:szCs w:val="24"/>
        </w:rPr>
        <w:t xml:space="preserve"> конкурсом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провести закупку </w:t>
      </w:r>
      <w:r w:rsidRPr="007F7EA5">
        <w:rPr>
          <w:bCs/>
          <w:sz w:val="24"/>
          <w:szCs w:val="24"/>
          <w:lang w:val="ru-RU"/>
        </w:rPr>
        <w:t>электронным запросом котировок</w:t>
      </w:r>
      <w:r w:rsidRPr="007F7EA5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>провести закупку запросом котировок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обязаны если цена контракта больше 3 млн. руб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14. Аккредитация участника </w:t>
      </w:r>
      <w:r w:rsidRPr="007F7EA5">
        <w:rPr>
          <w:sz w:val="24"/>
          <w:szCs w:val="24"/>
          <w:lang w:val="ru-RU"/>
        </w:rPr>
        <w:t xml:space="preserve">закупки </w:t>
      </w:r>
      <w:r w:rsidRPr="007F7EA5">
        <w:rPr>
          <w:sz w:val="24"/>
          <w:szCs w:val="24"/>
        </w:rPr>
        <w:t>на электронной площадке осуществляется сроком на: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бессрочно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два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год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</w:t>
      </w:r>
      <w:r w:rsidRPr="007F7EA5">
        <w:rPr>
          <w:bCs/>
          <w:sz w:val="24"/>
          <w:szCs w:val="24"/>
          <w:lang w:val="ru-RU"/>
        </w:rPr>
        <w:t>три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>15. Участник закупки</w:t>
      </w:r>
      <w:r w:rsidRPr="007F7EA5">
        <w:rPr>
          <w:sz w:val="24"/>
          <w:szCs w:val="24"/>
          <w:lang w:val="ru-RU"/>
        </w:rPr>
        <w:t xml:space="preserve"> для обеспечения доступа к участию в </w:t>
      </w:r>
      <w:r w:rsidRPr="007F7EA5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7F7EA5">
        <w:rPr>
          <w:sz w:val="24"/>
          <w:szCs w:val="24"/>
          <w:lang w:val="ru-RU"/>
        </w:rPr>
        <w:t xml:space="preserve"> направляет информацию и документы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в составе заявки на участие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оператору электронной площадки </w:t>
      </w:r>
      <w:r w:rsidRPr="007F7EA5">
        <w:rPr>
          <w:sz w:val="24"/>
          <w:szCs w:val="24"/>
          <w:lang w:val="ru-RU"/>
        </w:rPr>
        <w:t>после</w:t>
      </w:r>
      <w:r w:rsidRPr="007F7EA5">
        <w:rPr>
          <w:sz w:val="24"/>
          <w:szCs w:val="24"/>
        </w:rPr>
        <w:t xml:space="preserve"> подачи заявки на участие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заказчику до заключения контракта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а)оператор</w:t>
      </w:r>
      <w:r w:rsidRPr="007F7EA5">
        <w:rPr>
          <w:sz w:val="24"/>
          <w:szCs w:val="24"/>
          <w:lang w:val="ru-RU"/>
        </w:rPr>
        <w:t>ом</w:t>
      </w:r>
      <w:r w:rsidRPr="007F7EA5">
        <w:rPr>
          <w:sz w:val="24"/>
          <w:szCs w:val="24"/>
        </w:rPr>
        <w:t xml:space="preserve"> электронной площадки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заказчиком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электронной площадкой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ведение реестра не </w:t>
      </w:r>
      <w:r w:rsidRPr="007F7EA5">
        <w:rPr>
          <w:bCs/>
          <w:sz w:val="24"/>
          <w:szCs w:val="24"/>
          <w:lang w:val="ru-RU"/>
        </w:rPr>
        <w:t>осуществляется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17.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если начальная цена контракта менее </w:t>
      </w:r>
      <w:r w:rsidRPr="007F7EA5">
        <w:rPr>
          <w:sz w:val="24"/>
          <w:szCs w:val="24"/>
          <w:lang w:val="ru-RU"/>
        </w:rPr>
        <w:t>300</w:t>
      </w:r>
      <w:r w:rsidRPr="007F7EA5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а)десять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 xml:space="preserve">подачи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</w:t>
      </w:r>
      <w:r w:rsidRPr="007F7EA5">
        <w:rPr>
          <w:sz w:val="24"/>
          <w:szCs w:val="24"/>
          <w:lang w:val="ru-RU"/>
        </w:rPr>
        <w:t>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в)пятнадцать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г)двадцать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 xml:space="preserve">,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пятнадцать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двадцать пять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t xml:space="preserve"> </w:t>
      </w:r>
      <w:r w:rsidRPr="007F7EA5">
        <w:rPr>
          <w:bCs/>
          <w:sz w:val="24"/>
          <w:szCs w:val="24"/>
        </w:rPr>
        <w:t xml:space="preserve">с учетом части 1.1. статьи 30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Заказчик вправе внес</w:t>
      </w:r>
      <w:r w:rsidRPr="007F7EA5">
        <w:rPr>
          <w:sz w:val="24"/>
          <w:szCs w:val="24"/>
          <w:lang w:val="ru-RU"/>
        </w:rPr>
        <w:t>ти</w:t>
      </w:r>
      <w:r w:rsidRPr="007F7EA5">
        <w:rPr>
          <w:sz w:val="24"/>
          <w:szCs w:val="24"/>
        </w:rPr>
        <w:t xml:space="preserve"> изменени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в извещение о проведении </w:t>
      </w:r>
      <w:r w:rsidRPr="007F7EA5">
        <w:rPr>
          <w:sz w:val="24"/>
          <w:szCs w:val="24"/>
          <w:lang w:val="ru-RU"/>
        </w:rPr>
        <w:t>электронного аукциона</w:t>
      </w:r>
      <w:r w:rsidRPr="007F7EA5">
        <w:rPr>
          <w:sz w:val="24"/>
          <w:szCs w:val="24"/>
        </w:rPr>
        <w:t xml:space="preserve"> не позднее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два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один рабочий день</w:t>
      </w:r>
      <w:r w:rsidRPr="007F7EA5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20. </w:t>
      </w:r>
      <w:r w:rsidRPr="007F7EA5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7F7EA5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а)десять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б)девять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7F7EA5">
        <w:rPr>
          <w:b/>
          <w:sz w:val="24"/>
          <w:szCs w:val="24"/>
          <w:lang w:val="ru-RU"/>
        </w:rPr>
        <w:br w:type="page"/>
      </w:r>
    </w:p>
    <w:p w:rsidR="007F7EA5" w:rsidRPr="007F7EA5" w:rsidRDefault="007F7EA5" w:rsidP="007F7EA5">
      <w:pPr>
        <w:rPr>
          <w:b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 w:val="24"/>
          <w:szCs w:val="24"/>
        </w:rPr>
      </w:pPr>
      <w:r w:rsidRPr="007F7EA5">
        <w:rPr>
          <w:b/>
          <w:sz w:val="24"/>
          <w:szCs w:val="24"/>
        </w:rPr>
        <w:t>ВАРИАНТ 2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Согласно положени</w:t>
      </w:r>
      <w:r w:rsidRPr="007F7EA5">
        <w:rPr>
          <w:sz w:val="24"/>
          <w:szCs w:val="24"/>
          <w:lang w:val="ru-RU"/>
        </w:rPr>
        <w:t>ям</w:t>
      </w:r>
      <w:r w:rsidRPr="007F7EA5">
        <w:rPr>
          <w:sz w:val="24"/>
          <w:szCs w:val="24"/>
        </w:rPr>
        <w:t xml:space="preserve">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>, совместные конкурсы или аукционы проводят в случае: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закупок тремя заказчиками однородных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нормируемым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нормативным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ограничения и экономии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нормативно-стоимостным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 Сертификат соответствия - это: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500 тыс.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превышают 1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2</w:t>
      </w:r>
      <w:r w:rsidRPr="007F7EA5">
        <w:rPr>
          <w:sz w:val="24"/>
          <w:szCs w:val="24"/>
        </w:rPr>
        <w:t xml:space="preserve">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превышают 2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6.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7. </w:t>
      </w:r>
      <w:r w:rsidRPr="007F7EA5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7F7EA5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подрядчик и заказчик субсидиарно;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б) заказчик,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>г) сторона, допустившая просрочку.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государство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органы субъектов РФ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энергоснабжающая организация и потребитель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9.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обязательств, установленных </w:t>
      </w:r>
      <w:proofErr w:type="gramStart"/>
      <w:r w:rsidRPr="007F7EA5">
        <w:rPr>
          <w:bCs/>
          <w:i w:val="0"/>
          <w:iCs w:val="0"/>
          <w:snapToGrid w:val="0"/>
          <w:sz w:val="24"/>
          <w:szCs w:val="24"/>
        </w:rPr>
        <w:t>контрактом</w:t>
      </w:r>
      <w:proofErr w:type="gramEnd"/>
      <w:r w:rsidRPr="007F7EA5">
        <w:rPr>
          <w:bCs/>
          <w:i w:val="0"/>
          <w:iCs w:val="0"/>
          <w:snapToGrid w:val="0"/>
          <w:sz w:val="24"/>
          <w:szCs w:val="24"/>
        </w:rPr>
        <w:t xml:space="preserve"> устанавливается пеня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муниципальным органом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субъектом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Правительством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Правительством субъекта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а</w:t>
      </w:r>
      <w:r w:rsidRPr="007F7EA5">
        <w:rPr>
          <w:sz w:val="24"/>
          <w:szCs w:val="24"/>
        </w:rPr>
        <w:t xml:space="preserve">) в течение трех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б</w:t>
      </w:r>
      <w:r w:rsidRPr="007F7EA5">
        <w:rPr>
          <w:sz w:val="24"/>
          <w:szCs w:val="24"/>
        </w:rPr>
        <w:t xml:space="preserve">) в течение пяти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в течение </w:t>
      </w:r>
      <w:r w:rsidRPr="007F7EA5">
        <w:rPr>
          <w:sz w:val="24"/>
          <w:szCs w:val="24"/>
        </w:rPr>
        <w:t>пяти 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в течение десяти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неоднократного нарушения сроков поставки товаров;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невозмещения расходов на устранение недостатков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13. </w:t>
      </w:r>
      <w:r w:rsidRPr="007F7EA5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7F7EA5">
        <w:rPr>
          <w:sz w:val="24"/>
          <w:szCs w:val="24"/>
          <w:lang w:val="ru-RU"/>
        </w:rPr>
        <w:t>электронного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только одну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две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 xml:space="preserve">в) </w:t>
      </w:r>
      <w:r w:rsidRPr="007F7EA5">
        <w:rPr>
          <w:sz w:val="24"/>
          <w:szCs w:val="24"/>
        </w:rPr>
        <w:t>три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четыре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14. </w:t>
      </w:r>
      <w:r w:rsidRPr="007F7EA5">
        <w:rPr>
          <w:sz w:val="24"/>
          <w:szCs w:val="24"/>
        </w:rPr>
        <w:t xml:space="preserve">Участник закупки, подавший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, вправе отозвать заявку на участие в </w:t>
      </w:r>
      <w:r w:rsidR="00ED3272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</w:t>
      </w:r>
      <w:r w:rsidRPr="007F7EA5">
        <w:rPr>
          <w:b/>
          <w:sz w:val="24"/>
          <w:szCs w:val="24"/>
        </w:rPr>
        <w:t>,</w:t>
      </w:r>
      <w:r w:rsidRPr="007F7EA5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окончания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окончания проведения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срок в законе не регламентирован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на усмотрение участника закупки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подана только одна заявка или не подан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ни одн</w:t>
      </w:r>
      <w:r w:rsidRPr="007F7EA5">
        <w:rPr>
          <w:sz w:val="24"/>
          <w:szCs w:val="24"/>
          <w:lang w:val="ru-RU"/>
        </w:rPr>
        <w:t>ой</w:t>
      </w:r>
      <w:r w:rsidRPr="007F7EA5">
        <w:rPr>
          <w:sz w:val="24"/>
          <w:szCs w:val="24"/>
        </w:rPr>
        <w:t xml:space="preserve"> заявк</w:t>
      </w:r>
      <w:r w:rsidRPr="007F7EA5">
        <w:rPr>
          <w:sz w:val="24"/>
          <w:szCs w:val="24"/>
          <w:lang w:val="ru-RU"/>
        </w:rPr>
        <w:t>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bCs/>
          <w:sz w:val="24"/>
          <w:szCs w:val="24"/>
        </w:rPr>
        <w:t>признается недействительным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sz w:val="24"/>
          <w:szCs w:val="24"/>
        </w:rPr>
        <w:t>признается несостоявшимся.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проведение </w:t>
      </w:r>
      <w:r w:rsidRPr="007F7EA5">
        <w:rPr>
          <w:sz w:val="24"/>
          <w:szCs w:val="24"/>
        </w:rPr>
        <w:t>закупки отменяется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16. </w:t>
      </w:r>
      <w:r w:rsidRPr="007F7EA5">
        <w:rPr>
          <w:bCs/>
          <w:sz w:val="24"/>
          <w:szCs w:val="24"/>
        </w:rPr>
        <w:t xml:space="preserve">Срок рассмотрения </w:t>
      </w:r>
      <w:r w:rsidRPr="007F7EA5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7F7EA5">
        <w:rPr>
          <w:bCs/>
          <w:sz w:val="24"/>
          <w:szCs w:val="24"/>
        </w:rPr>
        <w:t xml:space="preserve">на участие в </w:t>
      </w:r>
      <w:r w:rsidRPr="007F7EA5">
        <w:rPr>
          <w:bCs/>
          <w:sz w:val="24"/>
          <w:szCs w:val="24"/>
          <w:lang w:val="ru-RU"/>
        </w:rPr>
        <w:t>электронном конкурсе</w:t>
      </w:r>
      <w:r w:rsidRPr="007F7EA5">
        <w:rPr>
          <w:bCs/>
          <w:sz w:val="24"/>
          <w:szCs w:val="24"/>
        </w:rPr>
        <w:t>,</w:t>
      </w:r>
      <w:r w:rsidRPr="007F7EA5">
        <w:rPr>
          <w:sz w:val="24"/>
          <w:szCs w:val="24"/>
        </w:rPr>
        <w:t xml:space="preserve"> не может превышать</w:t>
      </w:r>
      <w:r w:rsidRPr="007F7EA5">
        <w:rPr>
          <w:sz w:val="24"/>
          <w:szCs w:val="24"/>
          <w:lang w:val="ru-RU"/>
        </w:rPr>
        <w:t xml:space="preserve"> (с даты окончания срока подачи заявок)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двадцать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два рабочих дня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пять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один</w:t>
      </w:r>
      <w:r w:rsidRPr="007F7EA5">
        <w:rPr>
          <w:bCs/>
          <w:sz w:val="24"/>
          <w:szCs w:val="24"/>
        </w:rPr>
        <w:t xml:space="preserve"> рабочи</w:t>
      </w:r>
      <w:r w:rsidRPr="007F7EA5">
        <w:rPr>
          <w:bCs/>
          <w:sz w:val="24"/>
          <w:szCs w:val="24"/>
          <w:lang w:val="ru-RU"/>
        </w:rPr>
        <w:t>й</w:t>
      </w:r>
      <w:r w:rsidRPr="007F7EA5">
        <w:rPr>
          <w:bCs/>
          <w:sz w:val="24"/>
          <w:szCs w:val="24"/>
        </w:rPr>
        <w:t xml:space="preserve"> де</w:t>
      </w:r>
      <w:r w:rsidRPr="007F7EA5">
        <w:rPr>
          <w:bCs/>
          <w:sz w:val="24"/>
          <w:szCs w:val="24"/>
          <w:lang w:val="ru-RU"/>
        </w:rPr>
        <w:t>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17. В какой срок о</w:t>
      </w:r>
      <w:r w:rsidRPr="007F7EA5">
        <w:rPr>
          <w:sz w:val="24"/>
          <w:szCs w:val="24"/>
        </w:rPr>
        <w:t xml:space="preserve">ператор электронной площадки </w:t>
      </w:r>
      <w:r w:rsidRPr="007F7EA5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7F7EA5">
        <w:rPr>
          <w:bCs/>
          <w:sz w:val="24"/>
          <w:szCs w:val="24"/>
        </w:rPr>
        <w:t xml:space="preserve">: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в трехдневный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пятидневный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в течении одного рабочего дня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</w:t>
      </w:r>
      <w:r w:rsidRPr="007F7EA5">
        <w:rPr>
          <w:sz w:val="24"/>
          <w:szCs w:val="24"/>
          <w:lang w:val="ru-RU"/>
        </w:rPr>
        <w:t xml:space="preserve">течение пяти рабочих дней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7F7EA5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7F7EA5">
        <w:rPr>
          <w:bCs/>
          <w:sz w:val="24"/>
          <w:szCs w:val="24"/>
        </w:rPr>
        <w:t xml:space="preserve">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рабоч</w:t>
      </w:r>
      <w:r w:rsidRPr="007F7EA5">
        <w:rPr>
          <w:bCs/>
          <w:sz w:val="24"/>
          <w:szCs w:val="24"/>
          <w:lang w:val="ru-RU"/>
        </w:rPr>
        <w:t>их</w:t>
      </w:r>
      <w:r w:rsidRPr="007F7EA5">
        <w:rPr>
          <w:bCs/>
          <w:sz w:val="24"/>
          <w:szCs w:val="24"/>
        </w:rPr>
        <w:t xml:space="preserve"> дн</w:t>
      </w:r>
      <w:r w:rsidRPr="007F7EA5">
        <w:rPr>
          <w:bCs/>
          <w:sz w:val="24"/>
          <w:szCs w:val="24"/>
          <w:lang w:val="ru-RU"/>
        </w:rPr>
        <w:t>ей</w:t>
      </w:r>
      <w:r w:rsidRPr="007F7EA5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 xml:space="preserve">день по истечении двух </w:t>
      </w:r>
      <w:r w:rsidRPr="007F7EA5">
        <w:rPr>
          <w:bCs/>
          <w:sz w:val="24"/>
          <w:szCs w:val="24"/>
        </w:rPr>
        <w:t>дней с даты окончания срока рассмотрения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рассмотрения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день</w:t>
      </w:r>
      <w:r w:rsidRPr="007F7EA5">
        <w:rPr>
          <w:bCs/>
          <w:sz w:val="24"/>
          <w:szCs w:val="24"/>
        </w:rPr>
        <w:t xml:space="preserve"> окончания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ограничений нет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пять часов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одни сутки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>ВАРИАНТ 3</w:t>
      </w: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Субъектами естественных монополий могут быть: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7F7EA5">
        <w:rPr>
          <w:sz w:val="24"/>
          <w:szCs w:val="24"/>
          <w:lang w:val="ru-RU"/>
        </w:rPr>
        <w:t>ях</w:t>
      </w:r>
      <w:r w:rsidRPr="007F7EA5">
        <w:rPr>
          <w:sz w:val="24"/>
          <w:szCs w:val="24"/>
        </w:rPr>
        <w:t xml:space="preserve">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7F7EA5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7F7EA5" w:rsidRPr="007F7EA5" w:rsidRDefault="007F7EA5" w:rsidP="007F7EA5">
      <w:pPr>
        <w:ind w:firstLine="709"/>
        <w:rPr>
          <w:rFonts w:ascii="Verdana" w:hAnsi="Verdana"/>
          <w:sz w:val="21"/>
          <w:szCs w:val="21"/>
          <w:lang w:val="ru-RU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  <w:lang w:val="ru-RU"/>
        </w:rPr>
        <w:t xml:space="preserve">б)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  <w:lang w:val="ru-RU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3. </w:t>
      </w:r>
      <w:r w:rsidRPr="007F7EA5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по всем существенным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по всем обычным условиям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должен быть заключен в письменной форме;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может быть заключен в устной форме;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заключение </w:t>
      </w:r>
      <w:r w:rsidRPr="007F7EA5">
        <w:rPr>
          <w:sz w:val="24"/>
          <w:szCs w:val="24"/>
          <w:lang w:val="ru-RU"/>
        </w:rPr>
        <w:t>контракта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i/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>5.</w:t>
      </w:r>
      <w:r w:rsidRPr="007F7EA5">
        <w:rPr>
          <w:bCs/>
          <w:spacing w:val="-6"/>
          <w:sz w:val="24"/>
          <w:szCs w:val="24"/>
        </w:rPr>
        <w:t xml:space="preserve"> В</w:t>
      </w:r>
      <w:r w:rsidRPr="007F7EA5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  <w:lang w:val="ru-RU"/>
        </w:rPr>
        <w:t>а</w:t>
      </w:r>
      <w:r w:rsidRPr="007F7EA5">
        <w:rPr>
          <w:spacing w:val="-2"/>
          <w:sz w:val="24"/>
          <w:szCs w:val="24"/>
        </w:rPr>
        <w:t xml:space="preserve">) </w:t>
      </w:r>
      <w:r w:rsidRPr="007F7EA5">
        <w:rPr>
          <w:spacing w:val="-1"/>
          <w:sz w:val="24"/>
          <w:szCs w:val="24"/>
        </w:rPr>
        <w:t xml:space="preserve">не позднее чем за </w:t>
      </w:r>
      <w:r w:rsidRPr="007F7EA5">
        <w:rPr>
          <w:spacing w:val="-1"/>
          <w:sz w:val="24"/>
          <w:szCs w:val="24"/>
          <w:lang w:val="ru-RU"/>
        </w:rPr>
        <w:t>десять</w:t>
      </w:r>
      <w:r w:rsidRPr="007F7EA5">
        <w:rPr>
          <w:spacing w:val="-1"/>
          <w:sz w:val="24"/>
          <w:szCs w:val="24"/>
        </w:rPr>
        <w:t xml:space="preserve"> д</w:t>
      </w:r>
      <w:r w:rsidRPr="007F7EA5">
        <w:rPr>
          <w:spacing w:val="-1"/>
          <w:sz w:val="24"/>
          <w:szCs w:val="24"/>
          <w:lang w:val="ru-RU"/>
        </w:rPr>
        <w:t>ней</w:t>
      </w:r>
      <w:r w:rsidRPr="007F7EA5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б</w:t>
      </w:r>
      <w:r w:rsidRPr="007F7EA5">
        <w:rPr>
          <w:spacing w:val="-1"/>
          <w:sz w:val="24"/>
          <w:szCs w:val="24"/>
        </w:rPr>
        <w:t>) не позднее чем за один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</w:rPr>
        <w:lastRenderedPageBreak/>
        <w:t xml:space="preserve">в) </w:t>
      </w:r>
      <w:r w:rsidRPr="007F7EA5">
        <w:rPr>
          <w:spacing w:val="-1"/>
          <w:sz w:val="24"/>
          <w:szCs w:val="24"/>
        </w:rPr>
        <w:t xml:space="preserve">не позднее чем за </w:t>
      </w:r>
      <w:r w:rsidRPr="007F7EA5">
        <w:rPr>
          <w:spacing w:val="-1"/>
          <w:sz w:val="24"/>
          <w:szCs w:val="24"/>
          <w:lang w:val="ru-RU"/>
        </w:rPr>
        <w:t>пять рабочих</w:t>
      </w:r>
      <w:r w:rsidRPr="007F7EA5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7F7EA5">
        <w:rPr>
          <w:spacing w:val="-11"/>
          <w:sz w:val="24"/>
          <w:szCs w:val="24"/>
        </w:rPr>
        <w:t>ренную в договоре;</w:t>
      </w:r>
    </w:p>
    <w:p w:rsidR="007F7EA5" w:rsidRPr="007F7EA5" w:rsidRDefault="007F7EA5" w:rsidP="007F7EA5">
      <w:pPr>
        <w:ind w:firstLine="720"/>
        <w:rPr>
          <w:spacing w:val="-9"/>
          <w:sz w:val="24"/>
          <w:szCs w:val="24"/>
        </w:rPr>
      </w:pPr>
      <w:r w:rsidRPr="007F7EA5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7F7EA5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9"/>
          <w:sz w:val="24"/>
          <w:szCs w:val="24"/>
        </w:rPr>
        <w:t>г) во всех изложенных случаях.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sz w:val="24"/>
          <w:szCs w:val="24"/>
        </w:rPr>
        <w:t>7.</w:t>
      </w:r>
      <w:r w:rsidRPr="007F7EA5">
        <w:t xml:space="preserve"> </w:t>
      </w:r>
      <w:r w:rsidRPr="007F7EA5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8.</w:t>
      </w:r>
      <w:r w:rsidRPr="007F7EA5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7F7EA5">
        <w:rPr>
          <w:bCs/>
          <w:spacing w:val="-4"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7F7EA5">
        <w:rPr>
          <w:spacing w:val="-1"/>
          <w:sz w:val="24"/>
          <w:szCs w:val="24"/>
        </w:rPr>
        <w:t>ным для поставщика, подрядчика исполнителя;</w:t>
      </w:r>
    </w:p>
    <w:p w:rsidR="007F7EA5" w:rsidRPr="007F7EA5" w:rsidRDefault="007F7EA5" w:rsidP="007F7EA5">
      <w:pPr>
        <w:ind w:firstLine="720"/>
        <w:rPr>
          <w:spacing w:val="-5"/>
          <w:sz w:val="24"/>
          <w:szCs w:val="24"/>
        </w:rPr>
      </w:pPr>
      <w:r w:rsidRPr="007F7EA5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7F7EA5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9.</w:t>
      </w:r>
      <w:r w:rsidRPr="007F7EA5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разместить такой отчет в единой информационной системе:</w:t>
      </w:r>
    </w:p>
    <w:p w:rsidR="007F7EA5" w:rsidRPr="007F7EA5" w:rsidRDefault="007F7EA5" w:rsidP="007F7EA5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а</w:t>
      </w:r>
      <w:r w:rsidRPr="007F7EA5">
        <w:rPr>
          <w:spacing w:val="-1"/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>до 15 мая года, следующего за отчетным</w:t>
      </w:r>
      <w:r w:rsidRPr="007F7EA5">
        <w:rPr>
          <w:spacing w:val="-7"/>
          <w:sz w:val="24"/>
          <w:szCs w:val="24"/>
        </w:rPr>
        <w:t>;</w:t>
      </w:r>
      <w:r w:rsidRPr="007F7EA5">
        <w:rPr>
          <w:spacing w:val="-6"/>
          <w:w w:val="106"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w w:val="106"/>
          <w:sz w:val="24"/>
          <w:szCs w:val="24"/>
          <w:lang w:val="ru-RU"/>
        </w:rPr>
        <w:t>б</w:t>
      </w:r>
      <w:r w:rsidRPr="007F7EA5">
        <w:rPr>
          <w:spacing w:val="-6"/>
          <w:w w:val="106"/>
          <w:sz w:val="24"/>
          <w:szCs w:val="24"/>
        </w:rPr>
        <w:t xml:space="preserve">) до </w:t>
      </w:r>
      <w:r w:rsidRPr="007F7EA5">
        <w:rPr>
          <w:spacing w:val="-6"/>
          <w:w w:val="106"/>
          <w:sz w:val="24"/>
          <w:szCs w:val="24"/>
          <w:lang w:val="ru-RU"/>
        </w:rPr>
        <w:t>3</w:t>
      </w:r>
      <w:r w:rsidRPr="007F7EA5">
        <w:rPr>
          <w:spacing w:val="-6"/>
          <w:w w:val="106"/>
          <w:sz w:val="24"/>
          <w:szCs w:val="24"/>
        </w:rPr>
        <w:t xml:space="preserve">1 </w:t>
      </w:r>
      <w:r w:rsidRPr="007F7EA5">
        <w:rPr>
          <w:spacing w:val="-6"/>
          <w:w w:val="106"/>
          <w:sz w:val="24"/>
          <w:szCs w:val="24"/>
          <w:lang w:val="ru-RU"/>
        </w:rPr>
        <w:t>декабря</w:t>
      </w:r>
      <w:r w:rsidRPr="007F7EA5">
        <w:rPr>
          <w:spacing w:val="-6"/>
          <w:w w:val="106"/>
          <w:sz w:val="24"/>
          <w:szCs w:val="24"/>
        </w:rPr>
        <w:t xml:space="preserve"> </w:t>
      </w:r>
      <w:r w:rsidRPr="007F7EA5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7F7EA5">
        <w:rPr>
          <w:spacing w:val="-6"/>
          <w:w w:val="106"/>
          <w:sz w:val="24"/>
          <w:szCs w:val="24"/>
        </w:rPr>
        <w:t>года</w:t>
      </w:r>
      <w:r w:rsidRPr="007F7EA5">
        <w:rPr>
          <w:spacing w:val="-5"/>
          <w:w w:val="106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>до 1 апреля года, следующего за отчетным</w:t>
      </w:r>
      <w:r w:rsidRPr="007F7EA5">
        <w:rPr>
          <w:spacing w:val="-4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8"/>
          <w:w w:val="106"/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до 1 июня года, следующего за отчетным</w:t>
      </w:r>
      <w:r w:rsidRPr="007F7EA5">
        <w:rPr>
          <w:spacing w:val="-8"/>
          <w:w w:val="106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10. </w:t>
      </w:r>
      <w:r w:rsidRPr="007F7EA5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7F7EA5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7F7EA5">
        <w:rPr>
          <w:spacing w:val="-8"/>
          <w:sz w:val="24"/>
          <w:szCs w:val="24"/>
        </w:rPr>
        <w:t>результата работы;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4"/>
          <w:sz w:val="24"/>
          <w:szCs w:val="24"/>
        </w:rPr>
        <w:t>б) в течение шести месяцев;</w:t>
      </w:r>
    </w:p>
    <w:p w:rsidR="007F7EA5" w:rsidRPr="007F7EA5" w:rsidRDefault="007F7EA5" w:rsidP="007F7EA5">
      <w:pPr>
        <w:ind w:firstLine="720"/>
        <w:rPr>
          <w:spacing w:val="-2"/>
          <w:sz w:val="24"/>
          <w:szCs w:val="24"/>
        </w:rPr>
      </w:pPr>
      <w:r w:rsidRPr="007F7EA5">
        <w:rPr>
          <w:spacing w:val="-2"/>
          <w:sz w:val="24"/>
          <w:szCs w:val="24"/>
        </w:rPr>
        <w:t>в) в течение одного года;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г) в течение трех лет.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конкурса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 чем: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 десять рабочих дней до вскрытия конвертов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 один месяц до подведения итогов конкурса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за двадцать дней до </w:t>
      </w:r>
      <w:r w:rsidRPr="007F7EA5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за </w:t>
      </w:r>
      <w:r w:rsidRPr="007F7EA5">
        <w:rPr>
          <w:sz w:val="24"/>
          <w:szCs w:val="24"/>
          <w:lang w:val="ru-RU"/>
        </w:rPr>
        <w:t>пятнадцать</w:t>
      </w:r>
      <w:r w:rsidRPr="007F7EA5">
        <w:rPr>
          <w:sz w:val="24"/>
          <w:szCs w:val="24"/>
        </w:rPr>
        <w:t xml:space="preserve"> рабочих дней до </w:t>
      </w:r>
      <w:r w:rsidRPr="007F7EA5">
        <w:rPr>
          <w:sz w:val="24"/>
          <w:szCs w:val="24"/>
          <w:lang w:val="ru-RU"/>
        </w:rPr>
        <w:t>даты окончания срока подачи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 xml:space="preserve">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поручительство, залог денежных средств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страхования ответственности, </w:t>
      </w:r>
      <w:r w:rsidR="00ED3272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внесение денежных средств,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уменьшение цены контракта на двадцать пять и более процентов;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предложение заключить контракт по ценам ниже среднерыночных;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агрессивное снижение цены во время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14. </w:t>
      </w:r>
      <w:r w:rsidRPr="007F7EA5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изготовления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7"/>
          <w:sz w:val="24"/>
          <w:szCs w:val="24"/>
        </w:rPr>
        <w:t>б) оплаты стоимости товара покупателем;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в) передачи товара продавцом покупателю;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 xml:space="preserve">г) </w:t>
      </w:r>
      <w:r w:rsidRPr="007F7EA5">
        <w:rPr>
          <w:sz w:val="24"/>
          <w:szCs w:val="24"/>
        </w:rPr>
        <w:t>заключения договора купли-продажи покупателя с продав</w:t>
      </w:r>
      <w:r w:rsidRPr="007F7EA5">
        <w:rPr>
          <w:spacing w:val="-8"/>
          <w:sz w:val="24"/>
          <w:szCs w:val="24"/>
        </w:rPr>
        <w:t>цом;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15. </w:t>
      </w:r>
      <w:r w:rsidRPr="007F7EA5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один раз в шесть месяцев.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один раз в год.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раз в два года.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один раз в три месяца.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аукционе, комиссией </w:t>
      </w:r>
      <w:r w:rsidRPr="007F7EA5">
        <w:rPr>
          <w:sz w:val="24"/>
          <w:szCs w:val="24"/>
          <w:lang w:val="ru-RU"/>
        </w:rPr>
        <w:t>по осуществлению закупок подписывается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а)протокол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извещение о рассмотрении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закон не регламентирует данный вопрос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 xml:space="preserve">17. </w:t>
      </w:r>
      <w:r w:rsidRPr="007F7EA5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а)пяти рабочих дней.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б)десяти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в)семи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г)десяти дней.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7F7EA5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7F7EA5">
        <w:rPr>
          <w:bCs/>
          <w:sz w:val="24"/>
          <w:szCs w:val="24"/>
        </w:rPr>
        <w:t>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а)шесть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б)пять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в)</w:t>
      </w:r>
      <w:r w:rsidRPr="007F7EA5">
        <w:rPr>
          <w:bCs/>
          <w:sz w:val="24"/>
          <w:szCs w:val="24"/>
        </w:rPr>
        <w:t xml:space="preserve"> трех рабочих дней 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г)восемь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рабочих дней с даты подтверждения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 течение месяца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20. Сведения о недобросовестных поставщиках</w:t>
      </w:r>
      <w:r w:rsidRPr="007F7EA5">
        <w:rPr>
          <w:bCs/>
          <w:sz w:val="24"/>
          <w:szCs w:val="24"/>
        </w:rPr>
        <w:t xml:space="preserve"> исключаются</w:t>
      </w:r>
      <w:r w:rsidRPr="007F7EA5">
        <w:rPr>
          <w:sz w:val="24"/>
          <w:szCs w:val="24"/>
        </w:rPr>
        <w:t xml:space="preserve"> из реестра недобросовестных поставщиков </w:t>
      </w:r>
      <w:r w:rsidRPr="007F7EA5">
        <w:rPr>
          <w:bCs/>
          <w:sz w:val="24"/>
          <w:szCs w:val="24"/>
        </w:rPr>
        <w:t>по истечении: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одного года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двух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 xml:space="preserve">ВАРИАНТ </w:t>
      </w:r>
      <w:r w:rsidRPr="007F7EA5">
        <w:rPr>
          <w:b/>
          <w:bCs/>
          <w:sz w:val="24"/>
          <w:szCs w:val="24"/>
          <w:lang w:val="ru-RU"/>
        </w:rPr>
        <w:t>4</w:t>
      </w: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1. </w:t>
      </w:r>
      <w:r w:rsidRPr="007F7EA5">
        <w:rPr>
          <w:bCs/>
          <w:sz w:val="24"/>
          <w:szCs w:val="24"/>
        </w:rPr>
        <w:t>Утвержденный план</w:t>
      </w:r>
      <w:r w:rsidRPr="007F7EA5">
        <w:rPr>
          <w:bCs/>
          <w:sz w:val="24"/>
          <w:szCs w:val="24"/>
          <w:lang w:val="ru-RU"/>
        </w:rPr>
        <w:t>-график</w:t>
      </w:r>
      <w:r w:rsidRPr="007F7EA5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одного рабочего дня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трех рабочих дней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следующий день после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пяти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семи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десяти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семи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7F7EA5">
        <w:rPr>
          <w:bCs/>
          <w:sz w:val="24"/>
          <w:szCs w:val="24"/>
          <w:lang w:val="ru-RU"/>
        </w:rPr>
        <w:t xml:space="preserve">условий </w:t>
      </w:r>
      <w:r w:rsidRPr="007F7EA5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1/300 действующей на день уплаты </w:t>
      </w:r>
      <w:r w:rsidRPr="007F7EA5">
        <w:rPr>
          <w:sz w:val="24"/>
          <w:szCs w:val="24"/>
          <w:lang w:val="ru-RU"/>
        </w:rPr>
        <w:t xml:space="preserve">ключевой </w:t>
      </w:r>
      <w:r w:rsidRPr="007F7EA5">
        <w:rPr>
          <w:sz w:val="24"/>
          <w:szCs w:val="24"/>
        </w:rPr>
        <w:t xml:space="preserve">ставки </w:t>
      </w:r>
      <w:r w:rsidRPr="007F7EA5">
        <w:rPr>
          <w:bCs/>
          <w:sz w:val="24"/>
          <w:szCs w:val="24"/>
        </w:rPr>
        <w:t>Центрального банка РФ;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0,1 процента от суммы обязательства;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sz w:val="24"/>
          <w:szCs w:val="24"/>
        </w:rPr>
        <w:t xml:space="preserve"> 0,05 процента от суммы обязательства;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усмотрение заказчика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чем за </w:t>
      </w:r>
      <w:r w:rsidRPr="007F7EA5">
        <w:rPr>
          <w:bCs/>
          <w:sz w:val="24"/>
          <w:szCs w:val="24"/>
          <w:lang w:val="ru-RU"/>
        </w:rPr>
        <w:t>пять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чем за три дня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чем за </w:t>
      </w:r>
      <w:r w:rsidRPr="007F7EA5">
        <w:rPr>
          <w:bCs/>
          <w:sz w:val="24"/>
          <w:szCs w:val="24"/>
          <w:lang w:val="ru-RU"/>
        </w:rPr>
        <w:t>один рабочий день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чем за десять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а) тридцать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б) семьдесят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 сорок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 пятьдесят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  <w:lang w:val="ru-RU"/>
        </w:rPr>
        <w:t>6</w:t>
      </w:r>
      <w:r w:rsidRPr="007F7EA5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7F7EA5">
        <w:rPr>
          <w:bCs/>
          <w:sz w:val="24"/>
          <w:szCs w:val="24"/>
          <w:lang w:val="ru-RU"/>
        </w:rPr>
        <w:t>с</w:t>
      </w:r>
      <w:r w:rsidRPr="007F7EA5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7F7EA5">
        <w:rPr>
          <w:bCs/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двух рабочих</w:t>
      </w:r>
      <w:r w:rsidRPr="007F7EA5">
        <w:rPr>
          <w:sz w:val="24"/>
          <w:szCs w:val="24"/>
        </w:rPr>
        <w:t xml:space="preserve"> дней со дня размещения протокола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7</w:t>
      </w:r>
      <w:r w:rsidRPr="007F7EA5">
        <w:rPr>
          <w:bCs/>
          <w:sz w:val="24"/>
          <w:szCs w:val="24"/>
        </w:rPr>
        <w:t xml:space="preserve">. </w:t>
      </w:r>
      <w:r w:rsidRPr="007F7EA5">
        <w:rPr>
          <w:sz w:val="24"/>
          <w:szCs w:val="24"/>
        </w:rPr>
        <w:t xml:space="preserve">Протокол протокол подачи ценовых предложений </w:t>
      </w:r>
      <w:r w:rsidRPr="007F7EA5">
        <w:rPr>
          <w:sz w:val="24"/>
          <w:szCs w:val="24"/>
          <w:lang w:val="ru-RU"/>
        </w:rPr>
        <w:t xml:space="preserve">в электронном аукционе </w:t>
      </w:r>
      <w:r w:rsidRPr="007F7EA5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 xml:space="preserve">в любое время </w:t>
      </w:r>
      <w:r w:rsidRPr="007F7EA5">
        <w:rPr>
          <w:sz w:val="24"/>
          <w:szCs w:val="24"/>
        </w:rPr>
        <w:t>после окончания подачи ценовых предложений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часа</w:t>
      </w:r>
      <w:r w:rsidRPr="007F7EA5">
        <w:rPr>
          <w:sz w:val="24"/>
          <w:szCs w:val="24"/>
        </w:rPr>
        <w:t xml:space="preserve"> после окончания подачи ценовых предложений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8</w:t>
      </w:r>
      <w:r w:rsidRPr="007F7EA5">
        <w:rPr>
          <w:bCs/>
          <w:sz w:val="24"/>
          <w:szCs w:val="24"/>
        </w:rPr>
        <w:t xml:space="preserve">. В случаях предусмотренных </w:t>
      </w:r>
      <w:r w:rsidRPr="007F7EA5">
        <w:rPr>
          <w:bCs/>
          <w:sz w:val="24"/>
          <w:szCs w:val="24"/>
          <w:lang w:val="ru-RU"/>
        </w:rPr>
        <w:t xml:space="preserve">законом </w:t>
      </w:r>
      <w:r w:rsidRPr="007F7EA5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за один месяц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десять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заблаговременно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пять рабочих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9</w:t>
      </w:r>
      <w:r w:rsidRPr="007F7EA5">
        <w:rPr>
          <w:bCs/>
          <w:sz w:val="24"/>
          <w:szCs w:val="24"/>
        </w:rPr>
        <w:t xml:space="preserve">. Срок действия </w:t>
      </w:r>
      <w:r w:rsidRPr="007F7EA5">
        <w:rPr>
          <w:bCs/>
          <w:sz w:val="24"/>
          <w:szCs w:val="24"/>
          <w:lang w:val="ru-RU"/>
        </w:rPr>
        <w:t>независимой</w:t>
      </w:r>
      <w:r w:rsidRPr="007F7EA5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7F7EA5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7F7EA5">
        <w:rPr>
          <w:bCs/>
          <w:sz w:val="24"/>
          <w:szCs w:val="24"/>
        </w:rPr>
        <w:t>,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на три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на шесть месяцев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один месяц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два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10</w:t>
      </w:r>
      <w:r w:rsidRPr="007F7EA5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если это предусмотрено условиями запроса котировок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7F7EA5">
        <w:rPr>
          <w:bCs/>
          <w:sz w:val="24"/>
          <w:szCs w:val="24"/>
        </w:rPr>
        <w:t xml:space="preserve">о даче разъяснений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7F7EA5">
        <w:rPr>
          <w:sz w:val="24"/>
          <w:szCs w:val="24"/>
        </w:rPr>
        <w:t xml:space="preserve"> не позднее чем </w:t>
      </w:r>
      <w:r w:rsidRPr="007F7EA5">
        <w:rPr>
          <w:sz w:val="24"/>
          <w:szCs w:val="24"/>
          <w:lang w:val="ru-RU"/>
        </w:rPr>
        <w:t>в течение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а)дв</w:t>
      </w:r>
      <w:r w:rsidRPr="007F7EA5">
        <w:rPr>
          <w:sz w:val="24"/>
          <w:szCs w:val="24"/>
          <w:lang w:val="ru-RU"/>
        </w:rPr>
        <w:t>ух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 xml:space="preserve">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б)вось</w:t>
      </w:r>
      <w:r w:rsidRPr="007F7EA5">
        <w:rPr>
          <w:sz w:val="24"/>
          <w:szCs w:val="24"/>
          <w:lang w:val="ru-RU"/>
        </w:rPr>
        <w:t>ми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в)пят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г)десят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2. </w:t>
      </w:r>
      <w:r w:rsidRPr="007F7EA5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не превышает ста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не превышает двести пятьдесят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превышает </w:t>
      </w:r>
      <w:r w:rsidRPr="007F7EA5">
        <w:rPr>
          <w:bCs/>
          <w:sz w:val="24"/>
          <w:szCs w:val="24"/>
          <w:lang w:val="ru-RU"/>
        </w:rPr>
        <w:t>трех миллионов</w:t>
      </w:r>
      <w:r w:rsidRPr="007F7EA5">
        <w:rPr>
          <w:bCs/>
          <w:sz w:val="24"/>
          <w:szCs w:val="24"/>
        </w:rPr>
        <w:t xml:space="preserve">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>не превышает один миллион рублей.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3. </w:t>
      </w:r>
      <w:r w:rsidRPr="007F7EA5">
        <w:rPr>
          <w:sz w:val="24"/>
          <w:szCs w:val="24"/>
          <w:lang w:val="ru-RU"/>
        </w:rPr>
        <w:t>Извещение</w:t>
      </w:r>
      <w:r w:rsidRPr="007F7EA5">
        <w:rPr>
          <w:sz w:val="24"/>
          <w:szCs w:val="24"/>
        </w:rPr>
        <w:t xml:space="preserve"> об </w:t>
      </w:r>
      <w:r w:rsidR="00ED3272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должна быть доступн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для ознакомления в единой информационной системе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без взимания платы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bCs/>
          <w:sz w:val="24"/>
          <w:szCs w:val="24"/>
        </w:rPr>
        <w:t xml:space="preserve"> плата взимается в размере 1000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плата устанавливается участниками </w:t>
      </w:r>
      <w:r w:rsidRPr="007F7EA5">
        <w:rPr>
          <w:bCs/>
          <w:sz w:val="24"/>
          <w:szCs w:val="24"/>
          <w:lang w:val="ru-RU"/>
        </w:rPr>
        <w:t>закупок</w:t>
      </w:r>
      <w:r w:rsidRPr="007F7EA5">
        <w:rPr>
          <w:bCs/>
          <w:sz w:val="24"/>
          <w:szCs w:val="24"/>
        </w:rPr>
        <w:t xml:space="preserve"> самостоятельно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7F7EA5">
        <w:rPr>
          <w:bCs/>
          <w:sz w:val="24"/>
          <w:szCs w:val="24"/>
          <w:lang w:val="ru-RU"/>
        </w:rPr>
        <w:t>в электронной форме</w:t>
      </w:r>
      <w:r w:rsidRPr="007F7EA5">
        <w:rPr>
          <w:bCs/>
          <w:sz w:val="24"/>
          <w:szCs w:val="24"/>
        </w:rPr>
        <w:t>, не менее чем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за </w:t>
      </w:r>
      <w:r w:rsidRPr="007F7EA5">
        <w:rPr>
          <w:bCs/>
          <w:sz w:val="24"/>
          <w:szCs w:val="24"/>
          <w:lang w:val="ru-RU"/>
        </w:rPr>
        <w:t>четыре</w:t>
      </w:r>
      <w:r w:rsidRPr="007F7EA5">
        <w:rPr>
          <w:bCs/>
          <w:sz w:val="24"/>
          <w:szCs w:val="24"/>
        </w:rPr>
        <w:t xml:space="preserve"> рабочих дн</w:t>
      </w:r>
      <w:r w:rsidRPr="007F7EA5">
        <w:rPr>
          <w:bCs/>
          <w:sz w:val="24"/>
          <w:szCs w:val="24"/>
          <w:lang w:val="ru-RU"/>
        </w:rPr>
        <w:t>я</w:t>
      </w:r>
      <w:r w:rsidRPr="007F7EA5">
        <w:rPr>
          <w:bCs/>
          <w:sz w:val="24"/>
          <w:szCs w:val="24"/>
        </w:rPr>
        <w:t xml:space="preserve">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5. </w:t>
      </w:r>
      <w:r w:rsidRPr="007F7EA5">
        <w:rPr>
          <w:sz w:val="24"/>
          <w:szCs w:val="24"/>
        </w:rPr>
        <w:t xml:space="preserve">Заказчиком, уполномоченным органом </w:t>
      </w:r>
      <w:r w:rsidRPr="007F7EA5">
        <w:rPr>
          <w:sz w:val="24"/>
          <w:szCs w:val="24"/>
          <w:lang w:val="ru-RU"/>
        </w:rPr>
        <w:t xml:space="preserve">в ряде случаев </w:t>
      </w:r>
      <w:r w:rsidRPr="007F7EA5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. Размер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не может быть: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16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Число членов приемочной комиссии: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пяти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семи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трех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более пяти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17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обязательно проводится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силами заказчика или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проводится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проводится </w:t>
      </w:r>
      <w:r w:rsidRPr="007F7EA5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18</w:t>
      </w:r>
      <w:r w:rsidRPr="007F7EA5">
        <w:rPr>
          <w:sz w:val="24"/>
          <w:szCs w:val="24"/>
        </w:rPr>
        <w:t xml:space="preserve">. </w:t>
      </w:r>
      <w:r w:rsidRPr="007F7EA5">
        <w:rPr>
          <w:sz w:val="24"/>
          <w:szCs w:val="24"/>
          <w:lang w:val="ru-RU"/>
        </w:rPr>
        <w:t>П</w:t>
      </w:r>
      <w:r w:rsidRPr="007F7EA5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19</w:t>
      </w:r>
      <w:r w:rsidRPr="007F7EA5">
        <w:rPr>
          <w:sz w:val="24"/>
          <w:szCs w:val="24"/>
        </w:rPr>
        <w:t xml:space="preserve">. </w:t>
      </w:r>
      <w:r w:rsidRPr="007F7EA5">
        <w:rPr>
          <w:bCs/>
          <w:sz w:val="24"/>
          <w:szCs w:val="24"/>
          <w:lang w:val="ru-RU"/>
        </w:rPr>
        <w:t>К</w:t>
      </w:r>
      <w:r w:rsidRPr="007F7EA5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Pr="007F7EA5">
        <w:rPr>
          <w:bCs/>
          <w:sz w:val="24"/>
          <w:szCs w:val="24"/>
          <w:lang w:val="ru-RU"/>
        </w:rPr>
        <w:t xml:space="preserve"> утверждается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 xml:space="preserve">главным </w:t>
      </w:r>
      <w:r w:rsidRPr="007F7EA5">
        <w:rPr>
          <w:bCs/>
          <w:sz w:val="24"/>
          <w:szCs w:val="24"/>
          <w:lang w:val="ru-RU"/>
        </w:rPr>
        <w:t>распорядителем бюджетных средств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специализированной организацией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уполномоченным органом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заказчиком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</w:rPr>
        <w:t>2</w:t>
      </w:r>
      <w:r w:rsidRPr="007F7EA5">
        <w:rPr>
          <w:sz w:val="24"/>
          <w:szCs w:val="24"/>
          <w:lang w:val="ru-RU"/>
        </w:rPr>
        <w:t>0</w:t>
      </w:r>
      <w:r w:rsidRPr="007F7EA5">
        <w:rPr>
          <w:sz w:val="24"/>
          <w:szCs w:val="24"/>
        </w:rPr>
        <w:t>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>В</w:t>
      </w:r>
      <w:r w:rsidRPr="007F7EA5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внесение изменений в извещение</w:t>
      </w:r>
      <w:r w:rsidRPr="007F7EA5">
        <w:rPr>
          <w:bCs/>
          <w:sz w:val="24"/>
          <w:szCs w:val="24"/>
          <w:lang w:val="ru-RU"/>
        </w:rPr>
        <w:t xml:space="preserve"> запрещено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два часа</w:t>
      </w:r>
      <w:r w:rsidRPr="007F7EA5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7F7EA5">
        <w:rPr>
          <w:bCs/>
          <w:sz w:val="24"/>
          <w:szCs w:val="24"/>
        </w:rPr>
        <w:t>.</w:t>
      </w:r>
    </w:p>
    <w:p w:rsidR="007F7EA5" w:rsidRPr="00A81C33" w:rsidRDefault="007F7EA5" w:rsidP="007F7EA5">
      <w:pPr>
        <w:rPr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Pr="000E3E79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Чурсин С.В., директор АНО </w:t>
      </w: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Информационно-маркетинговый центр </w:t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  <w:t>____________________</w:t>
      </w:r>
    </w:p>
    <w:p w:rsidR="00DC5818" w:rsidRPr="000E3E79" w:rsidRDefault="00DC5818">
      <w:pPr>
        <w:rPr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lang w:val="ru-RU"/>
        </w:rPr>
      </w:pPr>
      <w:r w:rsidRPr="000E3E79">
        <w:rPr>
          <w:lang w:val="ru-RU"/>
        </w:rPr>
        <w:br w:type="page"/>
      </w:r>
    </w:p>
    <w:p w:rsidR="00DC5818" w:rsidRPr="000E3E79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Учебный план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программы повышения квалификации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Категория слушателей</w:t>
      </w:r>
      <w:r w:rsidRPr="000E3E79">
        <w:rPr>
          <w:sz w:val="24"/>
          <w:szCs w:val="24"/>
          <w:lang w:val="ru-RU"/>
        </w:rPr>
        <w:t xml:space="preserve"> –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Срок обучения</w:t>
      </w:r>
      <w:r w:rsidRPr="000E3E79">
        <w:rPr>
          <w:sz w:val="24"/>
          <w:szCs w:val="24"/>
          <w:lang w:val="ru-RU"/>
        </w:rPr>
        <w:t xml:space="preserve">  – 120 час.</w:t>
      </w: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Форма обучения</w:t>
      </w:r>
      <w:r w:rsidRPr="000E3E79">
        <w:rPr>
          <w:sz w:val="24"/>
          <w:szCs w:val="24"/>
          <w:lang w:val="ru-RU"/>
        </w:rPr>
        <w:t xml:space="preserve"> – очная, </w:t>
      </w:r>
      <w:r w:rsidR="006D3FAF" w:rsidRPr="000E3E79">
        <w:rPr>
          <w:sz w:val="24"/>
          <w:szCs w:val="24"/>
          <w:lang w:val="ru-RU"/>
        </w:rPr>
        <w:t xml:space="preserve">очно-заочная, </w:t>
      </w:r>
      <w:r w:rsidR="00E03988" w:rsidRPr="000E3E79">
        <w:rPr>
          <w:sz w:val="24"/>
          <w:szCs w:val="24"/>
          <w:lang w:val="ru-RU"/>
        </w:rPr>
        <w:t>дистанционная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0E3E79" w:rsidRPr="000E3E79" w:rsidTr="00DC5818">
        <w:tc>
          <w:tcPr>
            <w:tcW w:w="56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0E3E79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Форма</w:t>
            </w:r>
          </w:p>
          <w:p w:rsidR="00DC5818" w:rsidRPr="000E3E79" w:rsidRDefault="00D33EA0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</w:t>
            </w:r>
            <w:r w:rsidR="00DC5818" w:rsidRPr="000E3E79">
              <w:rPr>
                <w:sz w:val="24"/>
                <w:szCs w:val="24"/>
                <w:lang w:val="ru-RU"/>
              </w:rPr>
              <w:t>онтроля</w:t>
            </w:r>
            <w:r w:rsidRPr="000E3E79">
              <w:rPr>
                <w:sz w:val="24"/>
                <w:szCs w:val="24"/>
                <w:lang w:val="ru-RU"/>
              </w:rPr>
              <w:t>*</w:t>
            </w:r>
          </w:p>
        </w:tc>
      </w:tr>
      <w:tr w:rsidR="000E3E79" w:rsidRPr="000E3E79" w:rsidTr="00DC5818">
        <w:tc>
          <w:tcPr>
            <w:tcW w:w="56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Лек-ции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Сам.работа</w:t>
            </w:r>
          </w:p>
        </w:tc>
        <w:tc>
          <w:tcPr>
            <w:tcW w:w="1383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0E3E79" w:rsidRPr="000E3E79" w:rsidTr="00DC5818">
        <w:tc>
          <w:tcPr>
            <w:tcW w:w="568" w:type="dxa"/>
            <w:vAlign w:val="center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Контракты</w:t>
            </w:r>
            <w:r w:rsidRPr="000E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Мониторинг</w:t>
            </w:r>
            <w:r w:rsidRPr="000E3E79">
              <w:rPr>
                <w:sz w:val="24"/>
                <w:szCs w:val="24"/>
              </w:rPr>
              <w:t xml:space="preserve">, контроль, аудит и </w:t>
            </w:r>
            <w:r w:rsidRPr="000E3E79">
              <w:rPr>
                <w:sz w:val="24"/>
                <w:szCs w:val="24"/>
                <w:lang w:val="ru-RU"/>
              </w:rPr>
              <w:t>защита</w:t>
            </w:r>
            <w:r w:rsidRPr="000E3E79">
              <w:rPr>
                <w:sz w:val="24"/>
                <w:szCs w:val="24"/>
              </w:rPr>
              <w:t xml:space="preserve"> прав и </w:t>
            </w:r>
            <w:r w:rsidRPr="000E3E79">
              <w:rPr>
                <w:sz w:val="24"/>
                <w:szCs w:val="24"/>
                <w:lang w:val="ru-RU"/>
              </w:rPr>
              <w:t>интересов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участников</w:t>
            </w:r>
            <w:r w:rsidRPr="000E3E7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Вариативная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Итоговая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аттестация</w:t>
            </w:r>
            <w:r w:rsidRPr="000E3E7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33EA0" w:rsidP="00DC5818">
      <w:pPr>
        <w:contextualSpacing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*текущий контроль и промежуточная аттестация не предусмотрены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  <w:sectPr w:rsidR="00F56B95" w:rsidRPr="000E3E79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678"/>
      </w:tblGrid>
      <w:tr w:rsidR="00DC5818" w:rsidRPr="000E3E79" w:rsidTr="004277D1">
        <w:tc>
          <w:tcPr>
            <w:tcW w:w="10031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0E3E79" w:rsidRDefault="00DC5818" w:rsidP="00DC5818">
      <w:pPr>
        <w:contextualSpacing/>
        <w:rPr>
          <w:b/>
          <w:sz w:val="24"/>
          <w:szCs w:val="24"/>
        </w:rPr>
      </w:pPr>
    </w:p>
    <w:p w:rsidR="00DC5818" w:rsidRPr="000E3E79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 w:firstRow="1" w:lastRow="0" w:firstColumn="1" w:lastColumn="0" w:noHBand="0" w:noVBand="1"/>
      </w:tblPr>
      <w:tblGrid>
        <w:gridCol w:w="4901"/>
        <w:gridCol w:w="563"/>
      </w:tblGrid>
      <w:tr w:rsidR="000E3E79" w:rsidRPr="000E3E79" w:rsidTr="00F56B95">
        <w:tc>
          <w:tcPr>
            <w:tcW w:w="4901" w:type="dxa"/>
          </w:tcPr>
          <w:p w:rsidR="00DC5818" w:rsidRPr="000E3E79" w:rsidRDefault="004277D1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0E3E79" w:rsidRPr="000E3E79" w:rsidTr="00F56B95">
        <w:tc>
          <w:tcPr>
            <w:tcW w:w="4901" w:type="dxa"/>
          </w:tcPr>
          <w:p w:rsidR="00DC5818" w:rsidRPr="000E3E79" w:rsidRDefault="00DC5818" w:rsidP="008F5EE2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0E3E79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0E3E79" w:rsidRPr="000E3E79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31</w:t>
            </w:r>
          </w:p>
        </w:tc>
      </w:tr>
      <w:tr w:rsidR="000E3E79" w:rsidRPr="000E3E79" w:rsidTr="00F56B95">
        <w:trPr>
          <w:trHeight w:val="306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Очно-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Дистанционная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C5818">
      <w:pPr>
        <w:rPr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>
      <w:pPr>
        <w:rPr>
          <w:lang w:val="ru-RU"/>
        </w:rPr>
      </w:pPr>
    </w:p>
    <w:sectPr w:rsidR="00F56B95" w:rsidRPr="000E3E79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95" w:rsidRDefault="00945B95">
      <w:r>
        <w:separator/>
      </w:r>
    </w:p>
  </w:endnote>
  <w:endnote w:type="continuationSeparator" w:id="0">
    <w:p w:rsidR="00945B95" w:rsidRDefault="0094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95" w:rsidRDefault="00945B95">
      <w:r>
        <w:separator/>
      </w:r>
    </w:p>
  </w:footnote>
  <w:footnote w:type="continuationSeparator" w:id="0">
    <w:p w:rsidR="00945B95" w:rsidRDefault="0094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AA1AFA" w:rsidRPr="00AA1AFA">
          <w:rPr>
            <w:noProof/>
            <w:sz w:val="20"/>
            <w:lang w:val="ru-RU"/>
          </w:rPr>
          <w:t>6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AA1AFA" w:rsidRPr="00AA1AFA">
          <w:rPr>
            <w:noProof/>
            <w:sz w:val="20"/>
            <w:lang w:val="ru-RU"/>
          </w:rPr>
          <w:t>21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 w15:restartNumberingAfterBreak="0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9" w15:restartNumberingAfterBreak="0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3"/>
  </w:num>
  <w:num w:numId="9">
    <w:abstractNumId w:val="20"/>
  </w:num>
  <w:num w:numId="10">
    <w:abstractNumId w:val="27"/>
  </w:num>
  <w:num w:numId="11">
    <w:abstractNumId w:val="25"/>
  </w:num>
  <w:num w:numId="12">
    <w:abstractNumId w:val="9"/>
  </w:num>
  <w:num w:numId="13">
    <w:abstractNumId w:val="3"/>
  </w:num>
  <w:num w:numId="14">
    <w:abstractNumId w:val="29"/>
  </w:num>
  <w:num w:numId="15">
    <w:abstractNumId w:val="17"/>
  </w:num>
  <w:num w:numId="16">
    <w:abstractNumId w:val="31"/>
  </w:num>
  <w:num w:numId="17">
    <w:abstractNumId w:val="4"/>
  </w:num>
  <w:num w:numId="18">
    <w:abstractNumId w:val="21"/>
  </w:num>
  <w:num w:numId="19">
    <w:abstractNumId w:val="1"/>
  </w:num>
  <w:num w:numId="20">
    <w:abstractNumId w:val="8"/>
  </w:num>
  <w:num w:numId="21">
    <w:abstractNumId w:val="30"/>
  </w:num>
  <w:num w:numId="22">
    <w:abstractNumId w:val="6"/>
  </w:num>
  <w:num w:numId="23">
    <w:abstractNumId w:val="12"/>
  </w:num>
  <w:num w:numId="24">
    <w:abstractNumId w:val="5"/>
  </w:num>
  <w:num w:numId="25">
    <w:abstractNumId w:val="28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11"/>
  </w:num>
  <w:num w:numId="30">
    <w:abstractNumId w:val="32"/>
  </w:num>
  <w:num w:numId="31">
    <w:abstractNumId w:val="26"/>
  </w:num>
  <w:num w:numId="32">
    <w:abstractNumId w:val="2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3E79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03124"/>
    <w:rsid w:val="00210E70"/>
    <w:rsid w:val="00214CE9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700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27B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D3FAF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3F8A"/>
    <w:rsid w:val="007F7EA5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5B95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90C12"/>
    <w:rsid w:val="00A953BB"/>
    <w:rsid w:val="00A95886"/>
    <w:rsid w:val="00A96FC8"/>
    <w:rsid w:val="00AA1AFA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34AD6"/>
    <w:rsid w:val="00B4374F"/>
    <w:rsid w:val="00B442A2"/>
    <w:rsid w:val="00B4434F"/>
    <w:rsid w:val="00B456B6"/>
    <w:rsid w:val="00B541C3"/>
    <w:rsid w:val="00B56584"/>
    <w:rsid w:val="00B61792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5F9D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5C4"/>
    <w:rsid w:val="00E544BE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5276"/>
    <w:rsid w:val="00EC290A"/>
    <w:rsid w:val="00ED1A46"/>
    <w:rsid w:val="00ED1F64"/>
    <w:rsid w:val="00ED3272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7AD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A638"/>
  <w15:docId w15:val="{7E590838-1343-49E7-8615-75EFDC29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5D28-1689-4C0A-B6E3-7ACDBE0C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38</Pages>
  <Words>10570</Words>
  <Characters>60254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IMC-63</cp:lastModifiedBy>
  <cp:revision>23</cp:revision>
  <cp:lastPrinted>2019-03-04T07:24:00Z</cp:lastPrinted>
  <dcterms:created xsi:type="dcterms:W3CDTF">2018-03-20T11:37:00Z</dcterms:created>
  <dcterms:modified xsi:type="dcterms:W3CDTF">2023-03-16T11:24:00Z</dcterms:modified>
</cp:coreProperties>
</file>